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1B" w:rsidRPr="00494E1B" w:rsidRDefault="00494E1B" w:rsidP="00494E1B">
      <w:pPr>
        <w:autoSpaceDE w:val="0"/>
        <w:autoSpaceDN w:val="0"/>
        <w:spacing w:after="0" w:line="300" w:lineRule="auto"/>
        <w:ind w:firstLine="680"/>
        <w:jc w:val="center"/>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b/>
          <w:bCs/>
          <w:sz w:val="24"/>
          <w:szCs w:val="24"/>
          <w:lang w:val="en" w:eastAsia="ru-RU"/>
        </w:rPr>
        <w:t>Agreement</w:t>
      </w:r>
    </w:p>
    <w:p w:rsidR="00494E1B" w:rsidRPr="00494E1B" w:rsidRDefault="00494E1B" w:rsidP="00494E1B">
      <w:pPr>
        <w:autoSpaceDE w:val="0"/>
        <w:autoSpaceDN w:val="0"/>
        <w:spacing w:after="0" w:line="300" w:lineRule="auto"/>
        <w:jc w:val="center"/>
        <w:rPr>
          <w:rFonts w:ascii="Times New Roman" w:eastAsia="Times New Roman" w:hAnsi="Times New Roman" w:cs="Times New Roman"/>
          <w:sz w:val="28"/>
          <w:szCs w:val="28"/>
          <w:lang w:val="en-US" w:eastAsia="ru-RU"/>
        </w:rPr>
      </w:pPr>
      <w:r>
        <w:rPr>
          <w:rFonts w:ascii="Century Gothic" w:eastAsia="Times New Roman" w:hAnsi="Century Gothic" w:cs="Times New Roman"/>
          <w:b/>
          <w:bCs/>
          <w:sz w:val="24"/>
          <w:szCs w:val="24"/>
          <w:lang w:val="en" w:eastAsia="ru-RU"/>
        </w:rPr>
        <w:t>on cooperation for</w:t>
      </w:r>
      <w:r w:rsidRPr="00494E1B">
        <w:rPr>
          <w:rFonts w:ascii="Century Gothic" w:eastAsia="Times New Roman" w:hAnsi="Century Gothic" w:cs="Times New Roman"/>
          <w:b/>
          <w:bCs/>
          <w:sz w:val="24"/>
          <w:szCs w:val="24"/>
          <w:lang w:val="en" w:eastAsia="ru-RU"/>
        </w:rPr>
        <w:t xml:space="preserve"> technical regulation, standardization and conformity assessment between the Russian Union of industrialists and entrepreneurs (RSPP) and the German Institute for Standardization (Federal Republic of Germany)</w:t>
      </w:r>
    </w:p>
    <w:p w:rsidR="00494E1B" w:rsidRPr="00494E1B" w:rsidRDefault="00494E1B" w:rsidP="00494E1B">
      <w:pPr>
        <w:autoSpaceDE w:val="0"/>
        <w:autoSpaceDN w:val="0"/>
        <w:spacing w:after="0" w:line="300" w:lineRule="auto"/>
        <w:ind w:firstLine="680"/>
        <w:jc w:val="both"/>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sz w:val="24"/>
          <w:szCs w:val="24"/>
          <w:lang w:val="en" w:eastAsia="ru-RU"/>
        </w:rPr>
        <w:t>The Russian Union of industrialists and entrepreneurs and the German Institute for standardization, hereinafter referred as the parties,</w:t>
      </w:r>
    </w:p>
    <w:p w:rsidR="00494E1B" w:rsidRPr="00494E1B" w:rsidRDefault="00494E1B" w:rsidP="00494E1B">
      <w:pPr>
        <w:autoSpaceDE w:val="0"/>
        <w:autoSpaceDN w:val="0"/>
        <w:spacing w:after="0" w:line="300" w:lineRule="auto"/>
        <w:ind w:firstLine="680"/>
        <w:jc w:val="both"/>
        <w:rPr>
          <w:rFonts w:ascii="Times New Roman" w:eastAsia="Times New Roman" w:hAnsi="Times New Roman" w:cs="Times New Roman"/>
          <w:sz w:val="24"/>
          <w:szCs w:val="24"/>
          <w:lang w:val="en-US" w:eastAsia="ru-RU"/>
        </w:rPr>
      </w:pPr>
      <w:proofErr w:type="gramStart"/>
      <w:r w:rsidRPr="00494E1B">
        <w:rPr>
          <w:rFonts w:ascii="Century Gothic" w:eastAsia="Times New Roman" w:hAnsi="Century Gothic" w:cs="Times New Roman"/>
          <w:sz w:val="24"/>
          <w:szCs w:val="24"/>
          <w:lang w:val="en" w:eastAsia="ru-RU"/>
        </w:rPr>
        <w:t>in</w:t>
      </w:r>
      <w:proofErr w:type="gramEnd"/>
      <w:r w:rsidRPr="00494E1B">
        <w:rPr>
          <w:rFonts w:ascii="Century Gothic" w:eastAsia="Times New Roman" w:hAnsi="Century Gothic" w:cs="Times New Roman"/>
          <w:sz w:val="24"/>
          <w:szCs w:val="24"/>
          <w:lang w:val="en" w:eastAsia="ru-RU"/>
        </w:rPr>
        <w:t xml:space="preserve"> order to provide mutual assistance on technical barriers </w:t>
      </w:r>
      <w:r>
        <w:rPr>
          <w:rFonts w:ascii="Century Gothic" w:eastAsia="Times New Roman" w:hAnsi="Century Gothic" w:cs="Times New Roman"/>
          <w:sz w:val="24"/>
          <w:szCs w:val="24"/>
          <w:lang w:val="en" w:eastAsia="ru-RU"/>
        </w:rPr>
        <w:t>for</w:t>
      </w:r>
      <w:r w:rsidRPr="00494E1B">
        <w:rPr>
          <w:rFonts w:ascii="Century Gothic" w:eastAsia="Times New Roman" w:hAnsi="Century Gothic" w:cs="Times New Roman"/>
          <w:sz w:val="24"/>
          <w:szCs w:val="24"/>
          <w:lang w:val="en" w:eastAsia="ru-RU"/>
        </w:rPr>
        <w:t xml:space="preserve"> trade and industry, ensure compatibility and interchangeability of the supplied products, its security to the life, health and property, as well as in the field of environmental protection;</w:t>
      </w:r>
    </w:p>
    <w:p w:rsidR="00494E1B" w:rsidRPr="00494E1B" w:rsidRDefault="00494E1B" w:rsidP="00494E1B">
      <w:pPr>
        <w:autoSpaceDE w:val="0"/>
        <w:autoSpaceDN w:val="0"/>
        <w:spacing w:after="0" w:line="300" w:lineRule="auto"/>
        <w:ind w:firstLine="680"/>
        <w:jc w:val="both"/>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sz w:val="24"/>
          <w:szCs w:val="24"/>
          <w:lang w:val="en" w:eastAsia="ru-RU"/>
        </w:rPr>
        <w:t>Desirous of promoting cooperation in the field of technical regulation, standardization and conformity assessment, which conform international and European principles and standards;</w:t>
      </w:r>
    </w:p>
    <w:p w:rsidR="00494E1B" w:rsidRPr="00494E1B" w:rsidRDefault="00494E1B" w:rsidP="00494E1B">
      <w:pPr>
        <w:autoSpaceDE w:val="0"/>
        <w:autoSpaceDN w:val="0"/>
        <w:spacing w:after="0" w:line="300" w:lineRule="auto"/>
        <w:ind w:firstLine="680"/>
        <w:jc w:val="both"/>
        <w:rPr>
          <w:rFonts w:ascii="Times New Roman" w:eastAsia="Times New Roman" w:hAnsi="Times New Roman" w:cs="Times New Roman"/>
          <w:sz w:val="24"/>
          <w:szCs w:val="24"/>
          <w:lang w:val="en-US" w:eastAsia="ru-RU"/>
        </w:rPr>
      </w:pPr>
      <w:proofErr w:type="gramStart"/>
      <w:r w:rsidRPr="00494E1B">
        <w:rPr>
          <w:rFonts w:ascii="Century Gothic" w:eastAsia="Times New Roman" w:hAnsi="Century Gothic" w:cs="Times New Roman"/>
          <w:sz w:val="24"/>
          <w:szCs w:val="24"/>
          <w:lang w:val="en" w:eastAsia="ru-RU"/>
        </w:rPr>
        <w:t>guided</w:t>
      </w:r>
      <w:proofErr w:type="gramEnd"/>
      <w:r w:rsidRPr="00494E1B">
        <w:rPr>
          <w:rFonts w:ascii="Century Gothic" w:eastAsia="Times New Roman" w:hAnsi="Century Gothic" w:cs="Times New Roman"/>
          <w:sz w:val="24"/>
          <w:szCs w:val="24"/>
          <w:lang w:val="en" w:eastAsia="ru-RU"/>
        </w:rPr>
        <w:t xml:space="preserve"> by economic interests of the parties,</w:t>
      </w:r>
    </w:p>
    <w:p w:rsidR="00494E1B" w:rsidRPr="00494E1B" w:rsidRDefault="00494E1B" w:rsidP="00494E1B">
      <w:pPr>
        <w:autoSpaceDE w:val="0"/>
        <w:autoSpaceDN w:val="0"/>
        <w:spacing w:after="0" w:line="300" w:lineRule="auto"/>
        <w:ind w:firstLine="680"/>
        <w:jc w:val="both"/>
        <w:rPr>
          <w:rFonts w:ascii="Times New Roman" w:eastAsia="Times New Roman" w:hAnsi="Times New Roman" w:cs="Times New Roman"/>
          <w:sz w:val="24"/>
          <w:szCs w:val="24"/>
          <w:lang w:val="en-US" w:eastAsia="ru-RU"/>
        </w:rPr>
      </w:pPr>
      <w:proofErr w:type="gramStart"/>
      <w:r>
        <w:rPr>
          <w:rFonts w:ascii="Century Gothic" w:eastAsia="Times New Roman" w:hAnsi="Century Gothic" w:cs="Times New Roman"/>
          <w:sz w:val="24"/>
          <w:szCs w:val="24"/>
          <w:lang w:val="en" w:eastAsia="ru-RU"/>
        </w:rPr>
        <w:t>leads</w:t>
      </w:r>
      <w:proofErr w:type="gramEnd"/>
      <w:r w:rsidRPr="00494E1B">
        <w:rPr>
          <w:rFonts w:ascii="Century Gothic" w:eastAsia="Times New Roman" w:hAnsi="Century Gothic" w:cs="Times New Roman"/>
          <w:sz w:val="24"/>
          <w:szCs w:val="24"/>
          <w:lang w:val="en" w:eastAsia="ru-RU"/>
        </w:rPr>
        <w:t xml:space="preserve"> to a mutual understanding on the following:</w:t>
      </w:r>
    </w:p>
    <w:p w:rsidR="00494E1B" w:rsidRPr="00494E1B" w:rsidRDefault="00494E1B" w:rsidP="00494E1B">
      <w:pPr>
        <w:autoSpaceDE w:val="0"/>
        <w:autoSpaceDN w:val="0"/>
        <w:spacing w:after="0" w:line="300" w:lineRule="auto"/>
        <w:jc w:val="both"/>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sz w:val="24"/>
          <w:szCs w:val="24"/>
          <w:lang w:val="en" w:eastAsia="ru-RU"/>
        </w:rPr>
        <w:t xml:space="preserve">1. </w:t>
      </w:r>
      <w:proofErr w:type="gramStart"/>
      <w:r w:rsidRPr="00494E1B">
        <w:rPr>
          <w:rFonts w:ascii="Century Gothic" w:eastAsia="Times New Roman" w:hAnsi="Century Gothic" w:cs="Times New Roman"/>
          <w:sz w:val="24"/>
          <w:szCs w:val="24"/>
          <w:lang w:val="en" w:eastAsia="ru-RU"/>
        </w:rPr>
        <w:t>in</w:t>
      </w:r>
      <w:proofErr w:type="gramEnd"/>
      <w:r w:rsidRPr="00494E1B">
        <w:rPr>
          <w:rFonts w:ascii="Century Gothic" w:eastAsia="Times New Roman" w:hAnsi="Century Gothic" w:cs="Times New Roman"/>
          <w:sz w:val="24"/>
          <w:szCs w:val="24"/>
          <w:lang w:val="en" w:eastAsia="ru-RU"/>
        </w:rPr>
        <w:t xml:space="preserve"> accordance with the laws of their States, the Parties shall cooperate in the field of technical regulation, standardization and conformity assessment and quality of products and services in the following areas:</w:t>
      </w:r>
    </w:p>
    <w:p w:rsidR="00494E1B" w:rsidRPr="00494E1B" w:rsidRDefault="009C65FC" w:rsidP="00494E1B">
      <w:pPr>
        <w:autoSpaceDE w:val="0"/>
        <w:autoSpaceDN w:val="0"/>
        <w:spacing w:after="0" w:line="300" w:lineRule="auto"/>
        <w:jc w:val="both"/>
        <w:rPr>
          <w:rFonts w:ascii="Times New Roman" w:eastAsia="Times New Roman" w:hAnsi="Times New Roman" w:cs="Times New Roman"/>
          <w:sz w:val="24"/>
          <w:szCs w:val="24"/>
          <w:lang w:val="en-US" w:eastAsia="ru-RU"/>
        </w:rPr>
      </w:pPr>
      <w:r>
        <w:rPr>
          <w:rFonts w:ascii="Century Gothic" w:eastAsia="Times New Roman" w:hAnsi="Century Gothic" w:cs="Times New Roman"/>
          <w:sz w:val="24"/>
          <w:szCs w:val="24"/>
          <w:lang w:val="en" w:eastAsia="ru-RU"/>
        </w:rPr>
        <w:t xml:space="preserve"> </w:t>
      </w:r>
      <w:proofErr w:type="gramStart"/>
      <w:r w:rsidR="00494E1B" w:rsidRPr="00494E1B">
        <w:rPr>
          <w:rFonts w:ascii="Century Gothic" w:eastAsia="Times New Roman" w:hAnsi="Century Gothic" w:cs="Times New Roman"/>
          <w:sz w:val="24"/>
          <w:szCs w:val="24"/>
          <w:lang w:val="en" w:eastAsia="ru-RU"/>
        </w:rPr>
        <w:t>promotion</w:t>
      </w:r>
      <w:proofErr w:type="gramEnd"/>
      <w:r w:rsidR="00494E1B" w:rsidRPr="00494E1B">
        <w:rPr>
          <w:rFonts w:ascii="Century Gothic" w:eastAsia="Times New Roman" w:hAnsi="Century Gothic" w:cs="Times New Roman"/>
          <w:sz w:val="24"/>
          <w:szCs w:val="24"/>
          <w:lang w:val="en" w:eastAsia="ru-RU"/>
        </w:rPr>
        <w:t xml:space="preserve"> of national and international standardization in both States, timely</w:t>
      </w:r>
      <w:r>
        <w:rPr>
          <w:rFonts w:ascii="Century Gothic" w:eastAsia="Times New Roman" w:hAnsi="Century Gothic" w:cs="Times New Roman"/>
          <w:sz w:val="24"/>
          <w:szCs w:val="24"/>
          <w:lang w:val="en" w:eastAsia="ru-RU"/>
        </w:rPr>
        <w:t xml:space="preserve"> mutual</w:t>
      </w:r>
      <w:r w:rsidR="00494E1B" w:rsidRPr="00494E1B">
        <w:rPr>
          <w:rFonts w:ascii="Century Gothic" w:eastAsia="Times New Roman" w:hAnsi="Century Gothic" w:cs="Times New Roman"/>
          <w:sz w:val="24"/>
          <w:szCs w:val="24"/>
          <w:lang w:val="en" w:eastAsia="ru-RU"/>
        </w:rPr>
        <w:t xml:space="preserve"> information on national standards, which may have a significant impact on trade between the parties;</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proofErr w:type="gramStart"/>
      <w:r w:rsidRPr="00494E1B">
        <w:rPr>
          <w:rFonts w:ascii="Century Gothic" w:eastAsia="Times New Roman" w:hAnsi="Century Gothic" w:cs="Times New Roman"/>
          <w:sz w:val="24"/>
          <w:szCs w:val="24"/>
          <w:lang w:val="en" w:eastAsia="ru-RU"/>
        </w:rPr>
        <w:t>the</w:t>
      </w:r>
      <w:proofErr w:type="gramEnd"/>
      <w:r w:rsidRPr="00494E1B">
        <w:rPr>
          <w:rFonts w:ascii="Century Gothic" w:eastAsia="Times New Roman" w:hAnsi="Century Gothic" w:cs="Times New Roman"/>
          <w:sz w:val="24"/>
          <w:szCs w:val="24"/>
          <w:lang w:val="en" w:eastAsia="ru-RU"/>
        </w:rPr>
        <w:t xml:space="preserve"> harmonization of national standards with international and European standards;</w:t>
      </w:r>
    </w:p>
    <w:p w:rsidR="00494E1B" w:rsidRPr="00494E1B" w:rsidRDefault="009C65FC" w:rsidP="00494E1B">
      <w:pPr>
        <w:autoSpaceDE w:val="0"/>
        <w:autoSpaceDN w:val="0"/>
        <w:spacing w:after="0" w:line="300" w:lineRule="auto"/>
        <w:ind w:firstLine="709"/>
        <w:jc w:val="both"/>
        <w:rPr>
          <w:rFonts w:ascii="Times New Roman" w:eastAsia="Times New Roman" w:hAnsi="Times New Roman" w:cs="Times New Roman"/>
          <w:sz w:val="28"/>
          <w:szCs w:val="28"/>
          <w:lang w:val="en" w:eastAsia="ru-RU"/>
        </w:rPr>
      </w:pPr>
      <w:r>
        <w:rPr>
          <w:rFonts w:ascii="Century Gothic" w:eastAsia="Times New Roman" w:hAnsi="Century Gothic" w:cs="Times New Roman"/>
          <w:sz w:val="24"/>
          <w:szCs w:val="24"/>
          <w:lang w:val="en" w:eastAsia="ru-RU"/>
        </w:rPr>
        <w:t>the promotion</w:t>
      </w:r>
      <w:r w:rsidR="00494E1B" w:rsidRPr="00494E1B">
        <w:rPr>
          <w:rFonts w:ascii="Century Gothic" w:eastAsia="Times New Roman" w:hAnsi="Century Gothic" w:cs="Times New Roman"/>
          <w:sz w:val="24"/>
          <w:szCs w:val="24"/>
          <w:lang w:val="en" w:eastAsia="ru-RU"/>
        </w:rPr>
        <w:t xml:space="preserve"> international cooperation on standardization within the International Organization for Standardization (</w:t>
      </w:r>
      <w:r w:rsidR="00494E1B" w:rsidRPr="00494E1B">
        <w:rPr>
          <w:rFonts w:ascii="Century Gothic" w:eastAsia="Times New Roman" w:hAnsi="Century Gothic" w:cs="Times New Roman"/>
          <w:sz w:val="24"/>
          <w:szCs w:val="24"/>
          <w:lang w:val="en-US" w:eastAsia="ru-RU"/>
        </w:rPr>
        <w:t>ISO</w:t>
      </w:r>
      <w:r w:rsidR="00494E1B" w:rsidRPr="00494E1B">
        <w:rPr>
          <w:rFonts w:ascii="Century Gothic" w:eastAsia="Times New Roman" w:hAnsi="Century Gothic" w:cs="Times New Roman"/>
          <w:sz w:val="24"/>
          <w:szCs w:val="24"/>
          <w:lang w:val="en" w:eastAsia="ru-RU"/>
        </w:rPr>
        <w:t xml:space="preserve">), the International </w:t>
      </w:r>
      <w:proofErr w:type="spellStart"/>
      <w:r w:rsidR="00494E1B" w:rsidRPr="00494E1B">
        <w:rPr>
          <w:rFonts w:ascii="Century Gothic" w:eastAsia="Times New Roman" w:hAnsi="Century Gothic" w:cs="Times New Roman"/>
          <w:sz w:val="24"/>
          <w:szCs w:val="24"/>
          <w:lang w:val="en" w:eastAsia="ru-RU"/>
        </w:rPr>
        <w:t>Electrotechnical</w:t>
      </w:r>
      <w:proofErr w:type="spellEnd"/>
      <w:r w:rsidR="00494E1B" w:rsidRPr="00494E1B">
        <w:rPr>
          <w:rFonts w:ascii="Century Gothic" w:eastAsia="Times New Roman" w:hAnsi="Century Gothic" w:cs="Times New Roman"/>
          <w:sz w:val="24"/>
          <w:szCs w:val="24"/>
          <w:lang w:val="en" w:eastAsia="ru-RU"/>
        </w:rPr>
        <w:t xml:space="preserve"> Commission (</w:t>
      </w:r>
      <w:r w:rsidR="00494E1B" w:rsidRPr="00494E1B">
        <w:rPr>
          <w:rFonts w:ascii="Century Gothic" w:eastAsia="Times New Roman" w:hAnsi="Century Gothic" w:cs="Times New Roman"/>
          <w:sz w:val="24"/>
          <w:szCs w:val="24"/>
          <w:lang w:val="en-US" w:eastAsia="ru-RU"/>
        </w:rPr>
        <w:t>IEC</w:t>
      </w:r>
      <w:r w:rsidR="00494E1B" w:rsidRPr="00494E1B">
        <w:rPr>
          <w:rFonts w:ascii="Century Gothic" w:eastAsia="Times New Roman" w:hAnsi="Century Gothic" w:cs="Times New Roman"/>
          <w:sz w:val="24"/>
          <w:szCs w:val="24"/>
          <w:lang w:val="en" w:eastAsia="ru-RU"/>
        </w:rPr>
        <w:t>), the European Committee for Standardization (</w:t>
      </w:r>
      <w:r w:rsidR="00494E1B" w:rsidRPr="00494E1B">
        <w:rPr>
          <w:rFonts w:ascii="Century Gothic" w:eastAsia="Times New Roman" w:hAnsi="Century Gothic" w:cs="Times New Roman"/>
          <w:sz w:val="24"/>
          <w:szCs w:val="24"/>
          <w:lang w:val="en-US" w:eastAsia="ru-RU"/>
        </w:rPr>
        <w:t>CEN</w:t>
      </w:r>
      <w:r w:rsidR="00494E1B" w:rsidRPr="00494E1B">
        <w:rPr>
          <w:rFonts w:ascii="Century Gothic" w:eastAsia="Times New Roman" w:hAnsi="Century Gothic" w:cs="Times New Roman"/>
          <w:sz w:val="24"/>
          <w:szCs w:val="24"/>
          <w:lang w:val="en" w:eastAsia="ru-RU"/>
        </w:rPr>
        <w:t xml:space="preserve">), the European </w:t>
      </w:r>
      <w:proofErr w:type="spellStart"/>
      <w:r w:rsidR="00494E1B" w:rsidRPr="00494E1B">
        <w:rPr>
          <w:rFonts w:ascii="Century Gothic" w:eastAsia="Times New Roman" w:hAnsi="Century Gothic" w:cs="Times New Roman"/>
          <w:sz w:val="24"/>
          <w:szCs w:val="24"/>
          <w:lang w:val="en" w:eastAsia="ru-RU"/>
        </w:rPr>
        <w:t>Electrotechnical</w:t>
      </w:r>
      <w:proofErr w:type="spellEnd"/>
      <w:r w:rsidR="00494E1B" w:rsidRPr="00494E1B">
        <w:rPr>
          <w:rFonts w:ascii="Century Gothic" w:eastAsia="Times New Roman" w:hAnsi="Century Gothic" w:cs="Times New Roman"/>
          <w:sz w:val="24"/>
          <w:szCs w:val="24"/>
          <w:lang w:val="en" w:eastAsia="ru-RU"/>
        </w:rPr>
        <w:t xml:space="preserve"> Commission (</w:t>
      </w:r>
      <w:r w:rsidR="00494E1B" w:rsidRPr="00494E1B">
        <w:rPr>
          <w:rFonts w:ascii="Century Gothic" w:eastAsia="Times New Roman" w:hAnsi="Century Gothic" w:cs="Times New Roman"/>
          <w:sz w:val="24"/>
          <w:szCs w:val="24"/>
          <w:lang w:val="en-US" w:eastAsia="ru-RU"/>
        </w:rPr>
        <w:t>CENELEC</w:t>
      </w:r>
      <w:r w:rsidR="00494E1B" w:rsidRPr="00494E1B">
        <w:rPr>
          <w:rFonts w:ascii="Century Gothic" w:eastAsia="Times New Roman" w:hAnsi="Century Gothic" w:cs="Times New Roman"/>
          <w:sz w:val="24"/>
          <w:szCs w:val="24"/>
          <w:lang w:val="en" w:eastAsia="ru-RU"/>
        </w:rPr>
        <w:t xml:space="preserve">) and other organizations and development </w:t>
      </w:r>
      <w:r>
        <w:rPr>
          <w:rFonts w:ascii="Century Gothic" w:eastAsia="Times New Roman" w:hAnsi="Century Gothic" w:cs="Times New Roman"/>
          <w:sz w:val="24"/>
          <w:szCs w:val="24"/>
          <w:lang w:val="en" w:eastAsia="ru-RU"/>
        </w:rPr>
        <w:t xml:space="preserve">of the </w:t>
      </w:r>
      <w:r w:rsidR="00494E1B" w:rsidRPr="00494E1B">
        <w:rPr>
          <w:rFonts w:ascii="Century Gothic" w:eastAsia="Times New Roman" w:hAnsi="Century Gothic" w:cs="Times New Roman"/>
          <w:sz w:val="24"/>
          <w:szCs w:val="24"/>
          <w:lang w:val="en" w:eastAsia="ru-RU"/>
        </w:rPr>
        <w:t>cooperation in the proposal and development of new areas of work on the establishment of international standards;</w:t>
      </w:r>
    </w:p>
    <w:p w:rsidR="00494E1B" w:rsidRPr="00494E1B" w:rsidRDefault="009C65FC"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proofErr w:type="gramStart"/>
      <w:r>
        <w:rPr>
          <w:rFonts w:ascii="Century Gothic" w:eastAsia="Times New Roman" w:hAnsi="Century Gothic" w:cs="Times New Roman"/>
          <w:sz w:val="24"/>
          <w:szCs w:val="24"/>
          <w:lang w:val="en" w:eastAsia="ru-RU"/>
        </w:rPr>
        <w:t>facilitating</w:t>
      </w:r>
      <w:proofErr w:type="gramEnd"/>
      <w:r w:rsidR="00494E1B" w:rsidRPr="00494E1B">
        <w:rPr>
          <w:rFonts w:ascii="Century Gothic" w:eastAsia="Times New Roman" w:hAnsi="Century Gothic" w:cs="Times New Roman"/>
          <w:sz w:val="24"/>
          <w:szCs w:val="24"/>
          <w:lang w:val="en" w:eastAsia="ru-RU"/>
        </w:rPr>
        <w:t xml:space="preserve"> the improvement of normative base of technical regulation in both States;</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proofErr w:type="gramStart"/>
      <w:r w:rsidRPr="00494E1B">
        <w:rPr>
          <w:rFonts w:ascii="Century Gothic" w:eastAsia="Times New Roman" w:hAnsi="Century Gothic" w:cs="Times New Roman"/>
          <w:sz w:val="24"/>
          <w:szCs w:val="24"/>
          <w:lang w:val="en" w:eastAsia="ru-RU"/>
        </w:rPr>
        <w:t>deepening</w:t>
      </w:r>
      <w:proofErr w:type="gramEnd"/>
      <w:r w:rsidRPr="00494E1B">
        <w:rPr>
          <w:rFonts w:ascii="Century Gothic" w:eastAsia="Times New Roman" w:hAnsi="Century Gothic" w:cs="Times New Roman"/>
          <w:sz w:val="24"/>
          <w:szCs w:val="24"/>
          <w:lang w:val="en" w:eastAsia="ru-RU"/>
        </w:rPr>
        <w:t xml:space="preserve"> of cooperation in the field of conformity assessment of products, services and quality management systems.</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sz w:val="24"/>
          <w:szCs w:val="24"/>
          <w:lang w:val="en" w:eastAsia="ru-RU"/>
        </w:rPr>
        <w:t xml:space="preserve">Cooperation can also take place on other issues of common interest. </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sz w:val="24"/>
          <w:szCs w:val="24"/>
          <w:lang w:val="en" w:eastAsia="ru-RU"/>
        </w:rPr>
        <w:t xml:space="preserve">2. </w:t>
      </w:r>
      <w:proofErr w:type="gramStart"/>
      <w:r w:rsidRPr="00494E1B">
        <w:rPr>
          <w:rFonts w:ascii="Century Gothic" w:eastAsia="Times New Roman" w:hAnsi="Century Gothic" w:cs="Times New Roman"/>
          <w:sz w:val="24"/>
          <w:szCs w:val="24"/>
          <w:lang w:val="en" w:eastAsia="ru-RU"/>
        </w:rPr>
        <w:t>the</w:t>
      </w:r>
      <w:proofErr w:type="gramEnd"/>
      <w:r w:rsidRPr="00494E1B">
        <w:rPr>
          <w:rFonts w:ascii="Century Gothic" w:eastAsia="Times New Roman" w:hAnsi="Century Gothic" w:cs="Times New Roman"/>
          <w:sz w:val="24"/>
          <w:szCs w:val="24"/>
          <w:lang w:val="en" w:eastAsia="ru-RU"/>
        </w:rPr>
        <w:t xml:space="preserve"> parties will exchange documents, periodicals, information in the field of technical regulation, standardization, conformity assessment and quality of products and services.</w:t>
      </w:r>
    </w:p>
    <w:p w:rsidR="00494E1B" w:rsidRPr="00494E1B" w:rsidRDefault="00494E1B" w:rsidP="009C65FC">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sz w:val="24"/>
          <w:szCs w:val="24"/>
          <w:lang w:val="en" w:eastAsia="ru-RU"/>
        </w:rPr>
        <w:lastRenderedPageBreak/>
        <w:t xml:space="preserve">3. </w:t>
      </w:r>
      <w:proofErr w:type="gramStart"/>
      <w:r w:rsidRPr="00494E1B">
        <w:rPr>
          <w:rFonts w:ascii="Century Gothic" w:eastAsia="Times New Roman" w:hAnsi="Century Gothic" w:cs="Times New Roman"/>
          <w:sz w:val="24"/>
          <w:szCs w:val="24"/>
          <w:lang w:val="en" w:eastAsia="ru-RU"/>
        </w:rPr>
        <w:t>the</w:t>
      </w:r>
      <w:proofErr w:type="gramEnd"/>
      <w:r w:rsidRPr="00494E1B">
        <w:rPr>
          <w:rFonts w:ascii="Century Gothic" w:eastAsia="Times New Roman" w:hAnsi="Century Gothic" w:cs="Times New Roman"/>
          <w:sz w:val="24"/>
          <w:szCs w:val="24"/>
          <w:lang w:val="en" w:eastAsia="ru-RU"/>
        </w:rPr>
        <w:t xml:space="preserve"> parties intend to organize reciprocal bilateral meetings</w:t>
      </w:r>
      <w:r w:rsidR="009C65FC">
        <w:rPr>
          <w:rFonts w:ascii="Century Gothic" w:eastAsia="Times New Roman" w:hAnsi="Century Gothic" w:cs="Times New Roman"/>
          <w:sz w:val="24"/>
          <w:szCs w:val="24"/>
          <w:lang w:val="en" w:eastAsia="ru-RU"/>
        </w:rPr>
        <w:t xml:space="preserve"> with the participation of the </w:t>
      </w:r>
      <w:r w:rsidRPr="00494E1B">
        <w:rPr>
          <w:rFonts w:ascii="Century Gothic" w:eastAsia="Times New Roman" w:hAnsi="Century Gothic" w:cs="Times New Roman"/>
          <w:sz w:val="24"/>
          <w:szCs w:val="24"/>
          <w:lang w:val="en" w:eastAsia="ru-RU"/>
        </w:rPr>
        <w:t>specialists of both countries to exchange experiences in the field of technical regulation, standardization, conformity assessment and quality of products and services, to carry out work on counseling and training.</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sz w:val="24"/>
          <w:szCs w:val="24"/>
          <w:lang w:val="en" w:eastAsia="ru-RU"/>
        </w:rPr>
        <w:t xml:space="preserve">Conditions of the </w:t>
      </w:r>
      <w:r w:rsidR="009C65FC">
        <w:rPr>
          <w:rFonts w:ascii="Century Gothic" w:eastAsia="Times New Roman" w:hAnsi="Century Gothic" w:cs="Times New Roman"/>
          <w:sz w:val="24"/>
          <w:szCs w:val="24"/>
          <w:lang w:val="en" w:eastAsia="ru-RU"/>
        </w:rPr>
        <w:t xml:space="preserve">meetings </w:t>
      </w:r>
      <w:r w:rsidRPr="00494E1B">
        <w:rPr>
          <w:rFonts w:ascii="Century Gothic" w:eastAsia="Times New Roman" w:hAnsi="Century Gothic" w:cs="Times New Roman"/>
          <w:sz w:val="24"/>
          <w:szCs w:val="24"/>
          <w:lang w:val="en" w:eastAsia="ru-RU"/>
        </w:rPr>
        <w:t>will be determined by agreement of the parties.</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sz w:val="24"/>
          <w:szCs w:val="24"/>
          <w:lang w:val="en" w:eastAsia="ru-RU"/>
        </w:rPr>
        <w:t xml:space="preserve">4. </w:t>
      </w:r>
      <w:proofErr w:type="gramStart"/>
      <w:r w:rsidRPr="00494E1B">
        <w:rPr>
          <w:rFonts w:ascii="Century Gothic" w:eastAsia="Times New Roman" w:hAnsi="Century Gothic" w:cs="Times New Roman"/>
          <w:sz w:val="24"/>
          <w:szCs w:val="24"/>
          <w:lang w:val="en" w:eastAsia="ru-RU"/>
        </w:rPr>
        <w:t>the</w:t>
      </w:r>
      <w:proofErr w:type="gramEnd"/>
      <w:r w:rsidRPr="00494E1B">
        <w:rPr>
          <w:rFonts w:ascii="Century Gothic" w:eastAsia="Times New Roman" w:hAnsi="Century Gothic" w:cs="Times New Roman"/>
          <w:sz w:val="24"/>
          <w:szCs w:val="24"/>
          <w:lang w:val="en" w:eastAsia="ru-RU"/>
        </w:rPr>
        <w:t xml:space="preserve"> parties will continue to work on joint seminars, conferences, round tables and forums.</w:t>
      </w:r>
    </w:p>
    <w:p w:rsidR="00494E1B" w:rsidRPr="00494E1B" w:rsidRDefault="00494E1B"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r w:rsidRPr="00494E1B">
        <w:rPr>
          <w:rFonts w:ascii="Century Gothic" w:eastAsia="Times New Roman" w:hAnsi="Century Gothic" w:cs="Times New Roman"/>
          <w:sz w:val="24"/>
          <w:szCs w:val="24"/>
          <w:lang w:val="en" w:eastAsia="ru-RU"/>
        </w:rPr>
        <w:t>5. Financing of cooperation projects under this cooperation agreement will be implemented upon mutual agreement of the parties.</w:t>
      </w:r>
    </w:p>
    <w:p w:rsidR="00494E1B" w:rsidRDefault="00494E1B" w:rsidP="00494E1B">
      <w:pPr>
        <w:autoSpaceDE w:val="0"/>
        <w:autoSpaceDN w:val="0"/>
        <w:spacing w:after="0" w:line="300" w:lineRule="auto"/>
        <w:ind w:firstLine="709"/>
        <w:jc w:val="both"/>
        <w:rPr>
          <w:rFonts w:ascii="Century Gothic" w:eastAsia="Times New Roman" w:hAnsi="Century Gothic" w:cs="Times New Roman"/>
          <w:sz w:val="24"/>
          <w:szCs w:val="24"/>
          <w:lang w:val="en" w:eastAsia="ru-RU"/>
        </w:rPr>
      </w:pPr>
      <w:proofErr w:type="gramStart"/>
      <w:r w:rsidRPr="00494E1B">
        <w:rPr>
          <w:rFonts w:ascii="Century Gothic" w:eastAsia="Times New Roman" w:hAnsi="Century Gothic" w:cs="Times New Roman"/>
          <w:sz w:val="24"/>
          <w:szCs w:val="24"/>
          <w:lang w:val="en" w:eastAsia="ru-RU"/>
        </w:rPr>
        <w:t>Signed in the city of Munich in 2006, in two copies, each in the Russian and German languages.</w:t>
      </w:r>
      <w:proofErr w:type="gramEnd"/>
    </w:p>
    <w:p w:rsidR="009C65FC" w:rsidRPr="00494E1B" w:rsidRDefault="009C65FC" w:rsidP="00494E1B">
      <w:pPr>
        <w:autoSpaceDE w:val="0"/>
        <w:autoSpaceDN w:val="0"/>
        <w:spacing w:after="0" w:line="300" w:lineRule="auto"/>
        <w:ind w:firstLine="709"/>
        <w:jc w:val="both"/>
        <w:rPr>
          <w:rFonts w:ascii="Times New Roman" w:eastAsia="Times New Roman" w:hAnsi="Times New Roman" w:cs="Times New Roman"/>
          <w:sz w:val="28"/>
          <w:szCs w:val="28"/>
          <w:lang w:val="en-US" w:eastAsia="ru-RU"/>
        </w:rPr>
      </w:pPr>
    </w:p>
    <w:tbl>
      <w:tblPr>
        <w:tblW w:w="10035" w:type="dxa"/>
        <w:tblCellMar>
          <w:left w:w="0" w:type="dxa"/>
          <w:right w:w="0" w:type="dxa"/>
        </w:tblCellMar>
        <w:tblLook w:val="04A0" w:firstRow="1" w:lastRow="0" w:firstColumn="1" w:lastColumn="0" w:noHBand="0" w:noVBand="1"/>
      </w:tblPr>
      <w:tblGrid>
        <w:gridCol w:w="4805"/>
        <w:gridCol w:w="5230"/>
      </w:tblGrid>
      <w:tr w:rsidR="00494E1B" w:rsidRPr="00494E1B" w:rsidTr="00494E1B">
        <w:tc>
          <w:tcPr>
            <w:tcW w:w="4803" w:type="dxa"/>
            <w:tcMar>
              <w:top w:w="0" w:type="dxa"/>
              <w:left w:w="108" w:type="dxa"/>
              <w:bottom w:w="0" w:type="dxa"/>
              <w:right w:w="108" w:type="dxa"/>
            </w:tcMar>
            <w:hideMark/>
          </w:tcPr>
          <w:p w:rsidR="00494E1B" w:rsidRPr="00494E1B" w:rsidRDefault="00494E1B" w:rsidP="00494E1B">
            <w:pPr>
              <w:autoSpaceDE w:val="0"/>
              <w:autoSpaceDN w:val="0"/>
              <w:spacing w:after="0" w:line="300" w:lineRule="auto"/>
              <w:jc w:val="center"/>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b/>
                <w:bCs/>
                <w:sz w:val="24"/>
                <w:szCs w:val="24"/>
                <w:lang w:val="en" w:eastAsia="ru-RU"/>
              </w:rPr>
              <w:t>Vice President</w:t>
            </w:r>
          </w:p>
          <w:p w:rsidR="00494E1B" w:rsidRPr="00494E1B" w:rsidRDefault="00494E1B" w:rsidP="00494E1B">
            <w:pPr>
              <w:autoSpaceDE w:val="0"/>
              <w:autoSpaceDN w:val="0"/>
              <w:spacing w:after="0" w:line="300" w:lineRule="auto"/>
              <w:jc w:val="center"/>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b/>
                <w:bCs/>
                <w:sz w:val="24"/>
                <w:szCs w:val="24"/>
                <w:lang w:val="en" w:eastAsia="ru-RU"/>
              </w:rPr>
              <w:t>The Russian Union of industrialists and entrepreneurs (RSPP)</w:t>
            </w:r>
          </w:p>
          <w:p w:rsidR="00494E1B" w:rsidRPr="00494E1B" w:rsidRDefault="00494E1B" w:rsidP="009C65FC">
            <w:pPr>
              <w:autoSpaceDE w:val="0"/>
              <w:autoSpaceDN w:val="0"/>
              <w:spacing w:after="0" w:line="300" w:lineRule="auto"/>
              <w:jc w:val="center"/>
              <w:rPr>
                <w:rFonts w:ascii="Times New Roman" w:eastAsia="Times New Roman" w:hAnsi="Times New Roman" w:cs="Times New Roman"/>
                <w:sz w:val="24"/>
                <w:szCs w:val="24"/>
                <w:lang w:eastAsia="ru-RU"/>
              </w:rPr>
            </w:pPr>
            <w:r w:rsidRPr="00494E1B">
              <w:rPr>
                <w:rFonts w:ascii="Century Gothic" w:eastAsia="Times New Roman" w:hAnsi="Century Gothic" w:cs="Times New Roman"/>
                <w:b/>
                <w:bCs/>
                <w:sz w:val="24"/>
                <w:szCs w:val="24"/>
                <w:lang w:val="en" w:eastAsia="ru-RU"/>
              </w:rPr>
              <w:t>V.</w:t>
            </w:r>
            <w:r w:rsidR="009C65FC">
              <w:rPr>
                <w:rFonts w:ascii="Century Gothic" w:eastAsia="Times New Roman" w:hAnsi="Century Gothic" w:cs="Times New Roman"/>
                <w:b/>
                <w:bCs/>
                <w:sz w:val="24"/>
                <w:szCs w:val="24"/>
                <w:lang w:val="en" w:eastAsia="ru-RU"/>
              </w:rPr>
              <w:t>G</w:t>
            </w:r>
            <w:r w:rsidRPr="00494E1B">
              <w:rPr>
                <w:rFonts w:ascii="Century Gothic" w:eastAsia="Times New Roman" w:hAnsi="Century Gothic" w:cs="Times New Roman"/>
                <w:b/>
                <w:bCs/>
                <w:sz w:val="24"/>
                <w:szCs w:val="24"/>
                <w:lang w:val="en" w:eastAsia="ru-RU"/>
              </w:rPr>
              <w:t xml:space="preserve">. </w:t>
            </w:r>
            <w:proofErr w:type="spellStart"/>
            <w:r w:rsidRPr="00494E1B">
              <w:rPr>
                <w:rFonts w:ascii="Century Gothic" w:eastAsia="Times New Roman" w:hAnsi="Century Gothic" w:cs="Times New Roman"/>
                <w:b/>
                <w:bCs/>
                <w:sz w:val="24"/>
                <w:szCs w:val="24"/>
                <w:lang w:val="en" w:eastAsia="ru-RU"/>
              </w:rPr>
              <w:t>Perederij</w:t>
            </w:r>
            <w:proofErr w:type="spellEnd"/>
          </w:p>
        </w:tc>
        <w:tc>
          <w:tcPr>
            <w:tcW w:w="5228" w:type="dxa"/>
            <w:tcMar>
              <w:top w:w="0" w:type="dxa"/>
              <w:left w:w="108" w:type="dxa"/>
              <w:bottom w:w="0" w:type="dxa"/>
              <w:right w:w="108" w:type="dxa"/>
            </w:tcMar>
            <w:hideMark/>
          </w:tcPr>
          <w:p w:rsidR="00494E1B" w:rsidRPr="009C65FC" w:rsidRDefault="009C65FC" w:rsidP="009C65FC">
            <w:pPr>
              <w:spacing w:after="0"/>
              <w:rPr>
                <w:rFonts w:ascii="Century Gothic" w:hAnsi="Century Gothic"/>
                <w:b/>
                <w:sz w:val="24"/>
              </w:rPr>
            </w:pPr>
            <w:r w:rsidRPr="009C65FC">
              <w:rPr>
                <w:b/>
                <w:lang w:val="en-US"/>
              </w:rPr>
              <w:t xml:space="preserve">                                          </w:t>
            </w:r>
            <w:r w:rsidR="00494E1B" w:rsidRPr="009C65FC">
              <w:rPr>
                <w:rFonts w:ascii="Century Gothic" w:hAnsi="Century Gothic"/>
                <w:b/>
                <w:sz w:val="24"/>
              </w:rPr>
              <w:t>CEO</w:t>
            </w:r>
          </w:p>
          <w:p w:rsidR="00494E1B" w:rsidRPr="00494E1B" w:rsidRDefault="00494E1B" w:rsidP="00494E1B">
            <w:pPr>
              <w:autoSpaceDE w:val="0"/>
              <w:autoSpaceDN w:val="0"/>
              <w:spacing w:after="0" w:line="300" w:lineRule="auto"/>
              <w:jc w:val="center"/>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b/>
                <w:bCs/>
                <w:sz w:val="24"/>
                <w:szCs w:val="24"/>
                <w:lang w:val="en" w:eastAsia="ru-RU"/>
              </w:rPr>
              <w:t xml:space="preserve">German Institute </w:t>
            </w:r>
          </w:p>
          <w:p w:rsidR="00494E1B" w:rsidRPr="00494E1B" w:rsidRDefault="00494E1B" w:rsidP="00494E1B">
            <w:pPr>
              <w:autoSpaceDE w:val="0"/>
              <w:autoSpaceDN w:val="0"/>
              <w:spacing w:after="0" w:line="300" w:lineRule="auto"/>
              <w:jc w:val="center"/>
              <w:rPr>
                <w:rFonts w:ascii="Times New Roman" w:eastAsia="Times New Roman" w:hAnsi="Times New Roman" w:cs="Times New Roman"/>
                <w:sz w:val="24"/>
                <w:szCs w:val="24"/>
                <w:lang w:val="en-US" w:eastAsia="ru-RU"/>
              </w:rPr>
            </w:pPr>
            <w:r w:rsidRPr="00494E1B">
              <w:rPr>
                <w:rFonts w:ascii="Century Gothic" w:eastAsia="Times New Roman" w:hAnsi="Century Gothic" w:cs="Times New Roman"/>
                <w:b/>
                <w:bCs/>
                <w:sz w:val="24"/>
                <w:szCs w:val="24"/>
                <w:lang w:val="en" w:eastAsia="ru-RU"/>
              </w:rPr>
              <w:t>Standardization (DIN)</w:t>
            </w:r>
          </w:p>
          <w:p w:rsidR="00494E1B" w:rsidRPr="00494E1B" w:rsidRDefault="009C65FC" w:rsidP="00494E1B">
            <w:pPr>
              <w:autoSpaceDE w:val="0"/>
              <w:autoSpaceDN w:val="0"/>
              <w:spacing w:after="0" w:line="300" w:lineRule="auto"/>
              <w:jc w:val="center"/>
              <w:rPr>
                <w:rFonts w:ascii="Times New Roman" w:eastAsia="Times New Roman" w:hAnsi="Times New Roman" w:cs="Times New Roman"/>
                <w:sz w:val="24"/>
                <w:szCs w:val="24"/>
                <w:lang w:eastAsia="ru-RU"/>
              </w:rPr>
            </w:pPr>
            <w:r>
              <w:rPr>
                <w:rFonts w:ascii="Century Gothic" w:eastAsia="Times New Roman" w:hAnsi="Century Gothic" w:cs="Times New Roman"/>
                <w:b/>
                <w:bCs/>
                <w:sz w:val="24"/>
                <w:szCs w:val="24"/>
                <w:lang w:val="en" w:eastAsia="ru-RU"/>
              </w:rPr>
              <w:t>T. Bahke</w:t>
            </w:r>
            <w:bookmarkStart w:id="0" w:name="_GoBack"/>
            <w:bookmarkEnd w:id="0"/>
          </w:p>
        </w:tc>
      </w:tr>
    </w:tbl>
    <w:p w:rsidR="004770E2" w:rsidRDefault="004770E2"/>
    <w:sectPr w:rsidR="0047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1B"/>
    <w:rsid w:val="004770E2"/>
    <w:rsid w:val="00494E1B"/>
    <w:rsid w:val="009C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94E1B"/>
    <w:pPr>
      <w:autoSpaceDE w:val="0"/>
      <w:autoSpaceDN w:val="0"/>
      <w:spacing w:after="0" w:line="300" w:lineRule="auto"/>
      <w:ind w:firstLine="680"/>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semiHidden/>
    <w:rsid w:val="00494E1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94E1B"/>
    <w:pPr>
      <w:autoSpaceDE w:val="0"/>
      <w:autoSpaceDN w:val="0"/>
      <w:spacing w:after="0" w:line="300" w:lineRule="auto"/>
      <w:ind w:firstLine="680"/>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semiHidden/>
    <w:rsid w:val="00494E1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2012-06-19T10:03:00Z</dcterms:created>
  <dcterms:modified xsi:type="dcterms:W3CDTF">2012-06-19T10:23:00Z</dcterms:modified>
</cp:coreProperties>
</file>