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04" w:rsidRPr="00237A53" w:rsidRDefault="00A37104" w:rsidP="005246CB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F04C8" w:rsidRPr="00C6395D" w:rsidRDefault="001F04C8" w:rsidP="001F04C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95D">
        <w:rPr>
          <w:rFonts w:ascii="Times New Roman" w:eastAsia="Calibri" w:hAnsi="Times New Roman" w:cs="Times New Roman"/>
          <w:sz w:val="28"/>
          <w:szCs w:val="28"/>
        </w:rPr>
        <w:t>Информационная справка</w:t>
      </w:r>
    </w:p>
    <w:p w:rsidR="001F04C8" w:rsidRDefault="001F04C8" w:rsidP="005246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395D">
        <w:rPr>
          <w:rFonts w:ascii="Times New Roman" w:hAnsi="Times New Roman" w:cs="Times New Roman"/>
          <w:b/>
          <w:sz w:val="28"/>
          <w:szCs w:val="28"/>
        </w:rPr>
        <w:t xml:space="preserve">о вопросу рассмотрения проекта поправок </w:t>
      </w:r>
      <w:r w:rsidR="00C6395D" w:rsidRPr="00C6395D">
        <w:rPr>
          <w:rFonts w:ascii="Times New Roman" w:hAnsi="Times New Roman" w:cs="Times New Roman"/>
          <w:sz w:val="28"/>
          <w:szCs w:val="28"/>
        </w:rPr>
        <w:t>Правительства Российской Федерации к проекту федерального закона № 1051647-7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C6395D" w:rsidRPr="00C639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299A" w:rsidRPr="002D299A">
        <w:rPr>
          <w:rFonts w:ascii="Times New Roman" w:hAnsi="Times New Roman" w:cs="Times New Roman"/>
          <w:b/>
          <w:sz w:val="28"/>
          <w:szCs w:val="28"/>
        </w:rPr>
        <w:t>письмо Правительства РФ от 01.04.21 №2991п-П36</w:t>
      </w:r>
      <w:r w:rsidR="002D299A">
        <w:rPr>
          <w:rFonts w:ascii="Times New Roman" w:hAnsi="Times New Roman" w:cs="Times New Roman"/>
          <w:b/>
          <w:sz w:val="28"/>
          <w:szCs w:val="28"/>
        </w:rPr>
        <w:t>) (</w:t>
      </w:r>
      <w:r w:rsidR="00C6395D" w:rsidRPr="00C6395D">
        <w:rPr>
          <w:rFonts w:ascii="Times New Roman" w:hAnsi="Times New Roman" w:cs="Times New Roman"/>
          <w:b/>
          <w:sz w:val="28"/>
          <w:szCs w:val="28"/>
        </w:rPr>
        <w:t>закон-спутник)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95D" w:rsidRDefault="001F04C8" w:rsidP="005246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технического регулирования</w:t>
      </w:r>
    </w:p>
    <w:p w:rsidR="00C6395D" w:rsidRDefault="00C6395D" w:rsidP="005246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17FF" w:rsidRPr="00F160C2" w:rsidRDefault="00B317FF" w:rsidP="00045F1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317F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Федеральным законом от 31 июля 2020 г. № 248-ФЗ «О государственном контроле (надзоре) и муниципальном контроле в Российской Федерации» (далее – Закон о государственном контроле)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, вступающем в силу с 1 июля 2021 г., установлено, что </w:t>
      </w:r>
      <w:r w:rsidRPr="008725E1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виды федерального государственного контроля (надзора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), регионального государственного контроля (надзора) должны быть </w:t>
      </w:r>
      <w:r w:rsidRPr="008725E1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установлены федеральными законами.</w:t>
      </w:r>
      <w:r w:rsidR="00F160C2" w:rsidRPr="00F160C2">
        <w:t xml:space="preserve"> </w:t>
      </w:r>
      <w:r w:rsidR="00F160C2" w:rsidRPr="00A05FA5">
        <w:rPr>
          <w:rFonts w:ascii="Times New Roman" w:hAnsi="Times New Roman" w:cs="Times New Roman"/>
          <w:sz w:val="28"/>
          <w:szCs w:val="28"/>
        </w:rPr>
        <w:t>К</w:t>
      </w:r>
      <w:r w:rsidR="00F160C2" w:rsidRPr="00A05FA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онтрольные (надзорные) органы, уполномоченные на осуществление вида контроля</w:t>
      </w:r>
      <w:r w:rsidR="00A05FA5" w:rsidRPr="00A05FA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</w:t>
      </w:r>
      <w:r w:rsidR="00F160C2" w:rsidRPr="00A05FA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определяются Положением о виде контроля.</w:t>
      </w:r>
    </w:p>
    <w:p w:rsidR="00B317FF" w:rsidRDefault="00B317FF" w:rsidP="00045F1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317F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целях приведения в соответствие положений действующих федеральных законов, регулирующих особенности осуществления государственного контроля (надзора) в Российской Федерации, в соответствии с положениями Закона о государственном контроле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</w:t>
      </w:r>
      <w:r w:rsidRPr="00B317F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Минэкономразвития России подготовлен и принят в первом чтении проект </w:t>
      </w:r>
      <w:r w:rsidRPr="00865A44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закон</w:t>
      </w:r>
      <w:r w:rsidR="002522E5" w:rsidRPr="00865A44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а</w:t>
      </w:r>
      <w:r w:rsidRPr="00865A44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-спутник</w:t>
      </w:r>
      <w:r w:rsidR="002522E5" w:rsidRPr="00865A44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а</w:t>
      </w:r>
      <w:r w:rsidRPr="00865A44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B317FF" w:rsidRDefault="00B317FF" w:rsidP="00045F1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Отношения, регулирующие особенности осуществления государственного контроля (надзора) за соблюдением требований технических регламентов</w:t>
      </w:r>
      <w:r w:rsidR="00865A4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регулируются </w:t>
      </w:r>
      <w:r w:rsidR="009E02D3" w:rsidRPr="009E02D3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Федеральным законом от 27 декабря 2002 года № 184-ФЗ «О техническом регулировании»</w:t>
      </w:r>
      <w:r w:rsidR="009E02D3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(далее – ФЗ № 184)</w:t>
      </w:r>
      <w:r w:rsidRPr="008725E1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.</w:t>
      </w:r>
    </w:p>
    <w:p w:rsidR="00B317FF" w:rsidRDefault="000C46D2" w:rsidP="00B317F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редакции в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несенн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ого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в Правительство Российской Федерации закон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– спутник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F04C8" w:rsidRPr="000C46D2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нашли свое отражение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F04C8" w:rsidRPr="000C46D2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главные </w:t>
      </w:r>
      <w:r w:rsidRPr="000C46D2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задачи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по линии государственного контроля (надзора), выполняемые 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Минпромторгом России в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рамках реализации государственной политики в области технического регулирования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1F04C8" w:rsidRDefault="000C46D2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1. </w:t>
      </w:r>
      <w:r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У</w:t>
      </w:r>
      <w:r w:rsidR="001F04C8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становлен государственный контроль (надзор)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за соблюдением требований технических регламентов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и предусмотрено, что он 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осуществляется 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рамках видов федерального государственного контроля (надзора)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и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регионального 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государственного контроля (надзора)</w:t>
      </w:r>
      <w:r w:rsidR="00DB135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DB1355" w:rsidRPr="00640E3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федеральными законами о которых устанавливается, что предметом соответствующих видов федерального государственного контроля (надзора), регионального государственного контроля (надзора) является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регламентами.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Также определены положения, регламентирующие особенности его проведения</w:t>
      </w:r>
      <w:r w:rsidR="00045F1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(в редакции, принятой в </w:t>
      </w:r>
      <w:r w:rsidR="00045F1C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I</w:t>
      </w:r>
      <w:r w:rsidR="00045F1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чтении этих положений не предусматривалось)</w:t>
      </w:r>
      <w:r w:rsid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0C46D2" w:rsidRDefault="000C46D2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2. </w:t>
      </w:r>
      <w:r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З</w:t>
      </w:r>
      <w:r w:rsidR="001F04C8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акреплен за Росстандартом </w:t>
      </w:r>
      <w:r w:rsidR="008725E1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временный </w:t>
      </w:r>
      <w:r w:rsidR="001F04C8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отдельн</w:t>
      </w:r>
      <w:r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ый</w:t>
      </w:r>
      <w:r w:rsidR="001F04C8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вид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контроля (надзора) и, соответственно, возможност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ь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 1 июля 2021 года осуществл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ять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ый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контрол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ь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(надзор) за соблюдением требований технических регламентов</w:t>
      </w:r>
      <w:r w:rsidR="00045F1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в отношении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:</w:t>
      </w:r>
    </w:p>
    <w:p w:rsidR="000C46D2" w:rsidRDefault="000C46D2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271031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колесных транспортных средств</w:t>
      </w:r>
      <w:r w:rsidR="00271031" w:rsidRP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(шасси) и компонентов транспортных средств (шасси), находящихся в обращении (до начала их эксплуатации)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;</w:t>
      </w:r>
    </w:p>
    <w:p w:rsidR="000C46D2" w:rsidRDefault="000C46D2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271031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автомобильного бензина</w:t>
      </w:r>
      <w:r w:rsidR="00271031" w:rsidRP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 дизельного топлива, судового топлива и мазута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;</w:t>
      </w:r>
    </w:p>
    <w:p w:rsidR="001F04C8" w:rsidRDefault="000C46D2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1F04C8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обязательных требований</w:t>
      </w:r>
      <w:r w:rsidR="001F04C8" w:rsidRPr="001F04C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 подлежащих применению до дня вступления в силу технических регламентов</w:t>
      </w:r>
      <w:r w:rsidR="00271031" w:rsidRPr="00271031">
        <w:t xml:space="preserve"> </w:t>
      </w:r>
      <w:r w:rsidR="00271031" w:rsidRP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в отношении </w:t>
      </w:r>
      <w:r w:rsidR="00271031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электрической энергии</w:t>
      </w:r>
      <w:r w:rsidR="00271031" w:rsidRP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в электрических сетях общего назначения переменного трехфазного и однофазного тока частотой 50 Гц</w:t>
      </w:r>
      <w:r w:rsidR="00045F1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</w:t>
      </w:r>
      <w:r w:rsidR="0060474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</w:t>
      </w:r>
      <w:r w:rsidR="0060474F" w:rsidRPr="0060474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Правительства Российской Федерации от 1 декабря 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  <w:r w:rsidR="0060474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, далее - </w:t>
      </w:r>
      <w:r w:rsidR="00045F1C" w:rsidRPr="00807EE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 № 982</w:t>
      </w:r>
      <w:r w:rsidR="00045F1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).</w:t>
      </w:r>
    </w:p>
    <w:p w:rsidR="00DE1BE2" w:rsidRDefault="00DE1BE2" w:rsidP="00DE1BE2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single"/>
          <w:lang w:eastAsia="ru-RU"/>
        </w:rPr>
      </w:pPr>
    </w:p>
    <w:p w:rsidR="00045F1C" w:rsidRPr="00DE1BE2" w:rsidRDefault="008725E1" w:rsidP="00DE1BE2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single"/>
          <w:lang w:eastAsia="ru-RU"/>
        </w:rPr>
      </w:pPr>
      <w:r w:rsidRPr="00DE1BE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Вместе с тем законом-спутником</w:t>
      </w:r>
      <w:r w:rsidR="00237A53" w:rsidRPr="00DE1BE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 xml:space="preserve"> </w:t>
      </w:r>
      <w:r w:rsidR="00271031" w:rsidRPr="00DE1BE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не определен</w:t>
      </w:r>
      <w:r w:rsidR="00045F1C" w:rsidRPr="00DE1BE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:</w:t>
      </w:r>
    </w:p>
    <w:p w:rsidR="006E6B05" w:rsidRDefault="00045F1C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4D2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государственный контроль</w:t>
      </w:r>
      <w:r w:rsid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(надзор) за соблюдением требований технических регламентов, контроль за которыми в настоящее время осуществляют </w:t>
      </w:r>
      <w:r w:rsidR="00271031" w:rsidRPr="004D2FE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Росстандарт и иные </w:t>
      </w:r>
      <w:r w:rsidRPr="004D2FE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ФОИВ</w:t>
      </w:r>
      <w:r w:rsid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</w:t>
      </w:r>
      <w:r w:rsidR="00AC702C" w:rsidRPr="00AC702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8</w:t>
      </w:r>
      <w:r w:rsidR="00271031" w:rsidRPr="00AB0EE8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271031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ТР ТС</w:t>
      </w:r>
      <w:r w:rsid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)</w:t>
      </w:r>
    </w:p>
    <w:p w:rsidR="00045F1C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004/2011 «О безопасности низковольтного оборудования» (Роспотребнадзор, Росстандарт)</w:t>
      </w:r>
      <w:r w:rsidR="00045F1C"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lastRenderedPageBreak/>
        <w:t>ТР ТС 010/2011 «О безопасности машин и оборудования» (Роспотребнадзор, Ростехнадзор, Росстандарт, Минобороны России, ФСИН России, ФСБ России, ФСО России, СВР России, ГУСП на подведомственных территориях, органы исполнительной власти субъектов Российской Федерации);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011/2011 «Безопасность лифтов» (Ростехнадзор, Росстандарт, Минобороны России, ФСИН России, ФСБ России, ФСО России, СВР России, ГУСП на подведомственных территориях, органы исполнительной власти субъектов Российской Федерации);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012/2011 «О безопасности оборудования для работы во взрывоопасных средах» (Ростехнадзор, Росстандарт);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016/2011 «О безопасности аппаратов, работающих на газообразном топливе (Ростехнадзор, Росстандарт);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028/2012 «О безопасности взрывчатых веществ и изделий на их основе»</w:t>
      </w:r>
      <w:r w:rsidRPr="00ED31AB">
        <w:rPr>
          <w:i/>
          <w:sz w:val="24"/>
          <w:szCs w:val="24"/>
        </w:rPr>
        <w:t xml:space="preserve"> </w:t>
      </w: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(Ростехнадзор, Росстандарт);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030/2012 «О требованиях к смазочным материалам, маслам и специальным жидкостям» (Росстандарт, Росприроднадзор, органы исполнительной власти субъектов РФ);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ЕАЭС 037/2016 «Об ограничении применения опасных веществ в изделиях электротехники и радиоэлектроники»</w:t>
      </w:r>
      <w:r w:rsidR="00AB0EE8"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 xml:space="preserve"> (</w:t>
      </w: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Роспотребнадзор</w:t>
      </w:r>
      <w:r w:rsidR="00AB0EE8"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, Росстандарт</w:t>
      </w: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)</w:t>
      </w:r>
    </w:p>
    <w:p w:rsidR="00AB0EE8" w:rsidRDefault="00AB0EE8" w:rsidP="00AB0EE8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271031" w:rsidRDefault="00045F1C" w:rsidP="00045F1C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-</w:t>
      </w:r>
      <w:r w:rsidR="004D2FEE" w:rsidRPr="004D2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D2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государственный контроль (надзор) за соблюдением требований технических регламентов, контроль за которыми в настоящее время осуществляет только </w:t>
      </w:r>
      <w:r w:rsidR="004D2FEE" w:rsidRPr="004D2FE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Росстандарт</w:t>
      </w:r>
      <w:r w:rsid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(</w:t>
      </w:r>
      <w:r w:rsidR="00AC702C" w:rsidRPr="00AC702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7</w:t>
      </w:r>
      <w:r w:rsidR="00271031" w:rsidRPr="00045F1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ТР ТС</w:t>
      </w:r>
      <w:r w:rsidR="002710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)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020/2011 «Электромагнитная совместимость технических средств»;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ТС 031/2012 «О безопасности сельскохозяйственных и лесохозяйственных тракторов и прицепов к ним»;</w:t>
      </w:r>
    </w:p>
    <w:p w:rsidR="006E6B05" w:rsidRPr="00ED31AB" w:rsidRDefault="006E6B05" w:rsidP="00AB0EE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ЕАЭС 036/2016 «Требования к сжиженным углеводородным газам для использования их в качестве топлива»</w:t>
      </w:r>
      <w:r w:rsidR="00AB0EE8"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;</w:t>
      </w:r>
    </w:p>
    <w:p w:rsidR="00AB0EE8" w:rsidRPr="00ED31AB" w:rsidRDefault="00AB0EE8" w:rsidP="00AB0EE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ЕАЭС 042/2017 «О безопасности оборудования для детских игровых площадок»;</w:t>
      </w:r>
    </w:p>
    <w:p w:rsidR="00AB0EE8" w:rsidRPr="00ED31AB" w:rsidRDefault="00AB0EE8" w:rsidP="00AB0EE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ЕАЭС 045/2017 «О безопасности нефти, подготовленной к транспортировке и (или) использованию;</w:t>
      </w:r>
    </w:p>
    <w:p w:rsidR="00AB0EE8" w:rsidRPr="00ED31AB" w:rsidRDefault="00AB0EE8" w:rsidP="00AB0EE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ЕАЭС 046/2018 «О безопасности газа горючего природного, подготовленного к транспортированию и (или) использованию» (вступает в силу с 1 января 2022 г.);</w:t>
      </w:r>
    </w:p>
    <w:p w:rsidR="00AC702C" w:rsidRPr="00ED31AB" w:rsidRDefault="00AC702C" w:rsidP="00AC702C">
      <w:pPr>
        <w:pStyle w:val="aa"/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ED31AB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ТР ЕАЭС 038/2016 «О безопасности аттракционов» (Росстандарт, органы исполнительной власти субъектов РФ);</w:t>
      </w:r>
    </w:p>
    <w:p w:rsidR="0060474F" w:rsidRDefault="0060474F" w:rsidP="00C4761E">
      <w:pPr>
        <w:spacing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C2" w:rsidRPr="00640E34" w:rsidRDefault="0060474F" w:rsidP="00F160C2">
      <w:pPr>
        <w:spacing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Кроме того, </w:t>
      </w:r>
      <w:r w:rsidR="00F160C2" w:rsidRPr="0064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определен механизм осуществления контроля за продукцией, включенной в постановление № 982</w:t>
      </w:r>
      <w:r w:rsidR="00FC5C0E" w:rsidRPr="0064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5C0E"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0C2" w:rsidRPr="00640E34" w:rsidRDefault="00DB1355" w:rsidP="00DB1355">
      <w:pPr>
        <w:spacing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 этой продукцией осуществляет контроль Росстандарт</w:t>
      </w:r>
      <w:r w:rsidR="00FC5C0E"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0E"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соответствии с положением о Росстандарте)</w:t>
      </w:r>
      <w:r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1355" w:rsidRPr="00F160C2" w:rsidRDefault="00DB1355" w:rsidP="00DB1355">
      <w:pPr>
        <w:spacing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законом-спутником предусмотрены корреспондирующие изменения в ряд федеральных законов о виде контроля, устанавливающих виды федерального государственного контроля (надзора) и регионального государственного контроля (надзора) и предмет соответствующего государственного контроля (надзора) и предусматривающими, что предметом государственного контроля (надзора) является соблюдение изготовителем, </w:t>
      </w:r>
      <w:r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вступления в силу технических регламентов в соответствии с </w:t>
      </w:r>
      <w:r w:rsidR="00880E6F">
        <w:rPr>
          <w:rFonts w:ascii="Times New Roman" w:eastAsia="Times New Roman" w:hAnsi="Times New Roman" w:cs="Times New Roman"/>
          <w:sz w:val="28"/>
          <w:szCs w:val="28"/>
          <w:lang w:eastAsia="ru-RU"/>
        </w:rPr>
        <w:t>ФЗ № 184</w:t>
      </w:r>
      <w:r w:rsidR="00640E34" w:rsidRPr="0064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61E" w:rsidRPr="00C4761E" w:rsidRDefault="00C4761E" w:rsidP="00C4761E">
      <w:pPr>
        <w:spacing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территории Российской Федерации с 1 июля 2021 года остается </w:t>
      </w:r>
      <w:r w:rsidRPr="00C4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полностью бесконтрольной следующая продукция</w:t>
      </w:r>
      <w:r w:rsid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D2FEE" w:rsidRP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котор</w:t>
      </w:r>
      <w:r w:rsid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D2FEE" w:rsidRP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части</w:t>
      </w:r>
      <w:r w:rsidR="004D2FEE" w:rsidRP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D2FEE" w:rsidRP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время</w:t>
      </w:r>
      <w:r w:rsid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</w:t>
      </w:r>
      <w:r w:rsidR="004D2FEE" w:rsidRPr="004D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государственный контроль (надзор) Росстандарт</w:t>
      </w:r>
      <w:r w:rsidRPr="00C47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средства, способные создавать электромагнитные помехи и (или) качество функционирования которых зависит от воздействия внешних электромагнитных помех (ТР ТС 020/2011 «Электромагнитная совместимость технических средств»);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изготавливаемые и ввозимые колесные и гусеничные сельскохозяйственные и лесохозяйственные тракторы и прицепы к ним, а также изготавливаемые и ввозимые компоненты тракторов и прицепов, влияющие на их безопасность, и выпускаемые в обращение на единой таможенной территории Таможенного союза отдельно от тракторов и прицепов, независимо от страны происхождения (ТР ТС 031/2012 </w:t>
      </w: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безопасности сельскохозяйственных и лесохозяйственных тракторов и прицепов к ним»);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сжиженные углеводородные газы, выпускаемые в обращение и находящиеся в обращении на территории Союза и предназначенные для коммунально-бытового и производственного потребления в качестве топлива, а также для использования в качестве моторного топлива для автомобильного транспорта</w:t>
      </w:r>
      <w:r w:rsidRPr="00AD0499">
        <w:rPr>
          <w:rFonts w:ascii="Calibri" w:eastAsia="Times New Roman" w:hAnsi="Calibri" w:cs="Times New Roman"/>
          <w:lang w:eastAsia="ru-RU"/>
        </w:rPr>
        <w:t xml:space="preserve"> (</w:t>
      </w: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ЕАЭС 036/2016 «Требования к сжиженным углеводородным газам для использования их в качестве топлива»);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аттракционы на стадии их выпуска в обращение и обращения на рынке</w:t>
      </w:r>
      <w:r w:rsidRPr="00AD0499">
        <w:rPr>
          <w:rFonts w:ascii="Calibri" w:eastAsia="Times New Roman" w:hAnsi="Calibri" w:cs="Times New Roman"/>
          <w:lang w:eastAsia="ru-RU"/>
        </w:rPr>
        <w:t xml:space="preserve"> (</w:t>
      </w: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ЕАЭС 038/2016 «О безопасности аттракционов»);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(или) покрытие для детских игровых площадок</w:t>
      </w:r>
      <w:r w:rsidRPr="00AD0499">
        <w:rPr>
          <w:rFonts w:ascii="Calibri" w:eastAsia="Times New Roman" w:hAnsi="Calibri" w:cs="Times New Roman"/>
          <w:lang w:eastAsia="ru-RU"/>
        </w:rPr>
        <w:t xml:space="preserve"> </w:t>
      </w: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выпуска в обращение и обращения на рынке (ТР ЕАЭС 042/2017 «О безопасности оборудования для детских игровых площадок»);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нефть, подготовленная к транспортировке и (или) использованию, выпускаемая в обращение и находящаяся в обращении (ТР ЕАЭС </w:t>
      </w: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045/2017 «О безопасности нефти, подготовленной к транспортировке и (или) использованию»);</w:t>
      </w:r>
    </w:p>
    <w:p w:rsidR="00C4761E" w:rsidRPr="00AD0499" w:rsidRDefault="00C4761E" w:rsidP="00AD0499">
      <w:pPr>
        <w:pStyle w:val="aa"/>
        <w:numPr>
          <w:ilvl w:val="0"/>
          <w:numId w:val="8"/>
        </w:numPr>
        <w:spacing w:after="0" w:line="31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горючий природный, подготовленный к транспортированию по магистральным газопроводам, газ горючий природный промышленного и коммунально-бытового назначения, газ горючий природный компримированный и газ горючий природный сжиженный, подготовленные к использованию (ТР ЕАЭС 046/2018 «О безопасности газа горючего природного, подготовленного к транспортированию и (или) использованию» (вступает в силу с 1 января 2022 г.)).</w:t>
      </w:r>
    </w:p>
    <w:p w:rsidR="00AB0EE8" w:rsidRPr="006B6F87" w:rsidRDefault="00C4761E" w:rsidP="006B6F87">
      <w:pPr>
        <w:spacing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государственного надзора за обращением указанной продукции приведет к наполнению российского рынка </w:t>
      </w:r>
      <w:r w:rsidRPr="006B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опасными и фальсифицированными товарами, что повлечет риски причинения вреда жизни и здоровью граждан</w:t>
      </w:r>
      <w:r w:rsidRPr="00C47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FEE" w:rsidRDefault="004D2FEE" w:rsidP="007D7BFF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7D7BFF" w:rsidRPr="00045F1C" w:rsidRDefault="00835C1C" w:rsidP="007D7BFF">
      <w:pPr>
        <w:pStyle w:val="aa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u w:val="single"/>
          <w:lang w:eastAsia="ru-RU"/>
        </w:rPr>
        <w:t>Таким образом</w:t>
      </w:r>
      <w:r w:rsidR="007D7BFF" w:rsidRPr="00045F1C">
        <w:rPr>
          <w:rFonts w:ascii="Times New Roman" w:eastAsia="Calibri" w:hAnsi="Times New Roman" w:cs="Times New Roman"/>
          <w:spacing w:val="-1"/>
          <w:sz w:val="28"/>
          <w:szCs w:val="28"/>
          <w:u w:val="single"/>
          <w:lang w:eastAsia="ru-RU"/>
        </w:rPr>
        <w:t>:</w:t>
      </w:r>
    </w:p>
    <w:p w:rsidR="00ED31AB" w:rsidRDefault="00CB2C08" w:rsidP="00EF5C90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="004D2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</w:t>
      </w:r>
      <w:r w:rsidR="004D2FEE" w:rsidRPr="00045F1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целях возможности </w:t>
      </w:r>
      <w:r w:rsidR="004D2FEE" w:rsidRPr="00AC702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 1 июля 2021 года осуществлять государственный контроль (надзор) за соблюдением </w:t>
      </w:r>
      <w:r w:rsidR="004D2FEE" w:rsidRPr="00F34DE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требований</w:t>
      </w:r>
      <w:r w:rsidR="005B006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D2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15 </w:t>
      </w:r>
      <w:r w:rsidR="00F34DE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вышеуказанны</w:t>
      </w:r>
      <w:r w:rsidR="005B006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х</w:t>
      </w:r>
      <w:r w:rsidR="00F34DE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D2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ТР ТС </w:t>
      </w:r>
      <w:r w:rsidR="0056343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в </w:t>
      </w:r>
      <w:r w:rsid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законе-спутнике </w:t>
      </w:r>
      <w:r w:rsidR="00C246AE" w:rsidRPr="000C257C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необходимо</w:t>
      </w:r>
      <w:r w:rsidR="00C246A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предусмотреть изменения в </w:t>
      </w:r>
      <w:r w:rsidR="002E50DD" w:rsidRP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Федеральн</w:t>
      </w:r>
      <w:r w:rsid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ый</w:t>
      </w:r>
      <w:r w:rsidR="002E50DD" w:rsidRP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закон «О техническом регулировании»</w:t>
      </w:r>
      <w:r w:rsid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,</w:t>
      </w:r>
      <w:r w:rsidR="0056343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3346E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определ</w:t>
      </w:r>
      <w:r w:rsidR="002E50D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яющие</w:t>
      </w:r>
      <w:r w:rsidR="003346E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C246A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федеральный орган исполнительной власти (либо Росстандарт, либо иной другой)</w:t>
      </w:r>
      <w:r w:rsidR="003346E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, который</w:t>
      </w:r>
      <w:r w:rsidR="00EE3AF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3346E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будет</w:t>
      </w:r>
      <w:r w:rsidR="00EE3AFE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3346E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осуществлять контроль и надзор</w:t>
      </w:r>
      <w:r w:rsidR="0056343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за </w:t>
      </w:r>
      <w:r w:rsidR="00E5258C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соответствующей</w:t>
      </w:r>
      <w:bookmarkStart w:id="0" w:name="_GoBack"/>
      <w:bookmarkEnd w:id="0"/>
      <w:r w:rsidR="0056343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продукцией.</w:t>
      </w:r>
    </w:p>
    <w:p w:rsidR="00F160C2" w:rsidRPr="0056343F" w:rsidRDefault="006B1553" w:rsidP="00F160C2">
      <w:pPr>
        <w:shd w:val="clear" w:color="auto" w:fill="FFFFFF" w:themeFill="background1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B155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Ввиду</w:t>
      </w:r>
      <w:r w:rsidR="00F160C2" w:rsidRPr="006B155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отсутствия у </w:t>
      </w:r>
      <w:r w:rsidR="007472CE" w:rsidRPr="006B155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федеральных органов исполнительной власти</w:t>
      </w:r>
      <w:r w:rsidR="00F160C2" w:rsidRPr="006B155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, </w:t>
      </w:r>
      <w:r w:rsidR="007472CE" w:rsidRPr="006B155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бизнес</w:t>
      </w:r>
      <w:r w:rsidR="00F160C2" w:rsidRPr="006B155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-сообщества и потребителей полной картины, кто же будет с 1 июля 2021 г. осуществлять контроль за той или иной продукцией, являющейся объектным составом технических регламентов,</w:t>
      </w:r>
      <w:r w:rsidR="00F160C2" w:rsidRPr="00640E3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считаем необходимым дополнить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закон-спутник</w:t>
      </w:r>
      <w:r w:rsidR="00F160C2" w:rsidRPr="00640E3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нормой, наделяющей Правительство Российской Федерации полномочием по утверждению </w:t>
      </w:r>
      <w:r w:rsidR="00FC5C0E" w:rsidRPr="00640E3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единого акта - </w:t>
      </w:r>
      <w:r w:rsidR="00F160C2" w:rsidRPr="00640E3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перечня федеральных органов исполнительной власти, осуществляющих контроль (надзор) за соблюдением каждого принятого технического регламента с указанием на вид контроля (надзора), в рамках которого осуществляется контроль (надзор), при необходимости вида продукции, ее назначения, стадии ее жизненного цикла.</w:t>
      </w:r>
    </w:p>
    <w:sectPr w:rsidR="00F160C2" w:rsidRPr="0056343F" w:rsidSect="00E1572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14" w:rsidRDefault="00A86A14" w:rsidP="002645FB">
      <w:pPr>
        <w:spacing w:after="0" w:line="240" w:lineRule="auto"/>
      </w:pPr>
      <w:r>
        <w:separator/>
      </w:r>
    </w:p>
  </w:endnote>
  <w:endnote w:type="continuationSeparator" w:id="0">
    <w:p w:rsidR="00A86A14" w:rsidRDefault="00A86A14" w:rsidP="0026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14" w:rsidRDefault="00A86A14" w:rsidP="002645FB">
      <w:pPr>
        <w:spacing w:after="0" w:line="240" w:lineRule="auto"/>
      </w:pPr>
      <w:r>
        <w:separator/>
      </w:r>
    </w:p>
  </w:footnote>
  <w:footnote w:type="continuationSeparator" w:id="0">
    <w:p w:rsidR="00A86A14" w:rsidRDefault="00A86A14" w:rsidP="0026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13649"/>
      <w:docPartObj>
        <w:docPartGallery w:val="Page Numbers (Top of Page)"/>
        <w:docPartUnique/>
      </w:docPartObj>
    </w:sdtPr>
    <w:sdtEndPr/>
    <w:sdtContent>
      <w:p w:rsidR="00F50133" w:rsidRDefault="00F50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8C">
          <w:rPr>
            <w:noProof/>
          </w:rPr>
          <w:t>5</w:t>
        </w:r>
        <w:r>
          <w:fldChar w:fldCharType="end"/>
        </w:r>
      </w:p>
    </w:sdtContent>
  </w:sdt>
  <w:p w:rsidR="00F50133" w:rsidRDefault="00F501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6E9"/>
    <w:multiLevelType w:val="hybridMultilevel"/>
    <w:tmpl w:val="7DA24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06156B"/>
    <w:multiLevelType w:val="hybridMultilevel"/>
    <w:tmpl w:val="8F88BF6C"/>
    <w:lvl w:ilvl="0" w:tplc="8646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AA054B"/>
    <w:multiLevelType w:val="hybridMultilevel"/>
    <w:tmpl w:val="0D2C9256"/>
    <w:lvl w:ilvl="0" w:tplc="34C6D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D356E"/>
    <w:multiLevelType w:val="hybridMultilevel"/>
    <w:tmpl w:val="032871E6"/>
    <w:lvl w:ilvl="0" w:tplc="2692F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1F6309"/>
    <w:multiLevelType w:val="hybridMultilevel"/>
    <w:tmpl w:val="E2DE1D9C"/>
    <w:lvl w:ilvl="0" w:tplc="D4B84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29567F"/>
    <w:multiLevelType w:val="hybridMultilevel"/>
    <w:tmpl w:val="0240BDAC"/>
    <w:lvl w:ilvl="0" w:tplc="CCDE0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B32D9E"/>
    <w:multiLevelType w:val="hybridMultilevel"/>
    <w:tmpl w:val="770687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3032D1"/>
    <w:multiLevelType w:val="hybridMultilevel"/>
    <w:tmpl w:val="D8B88EF8"/>
    <w:lvl w:ilvl="0" w:tplc="0E74C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63"/>
    <w:rsid w:val="000052C3"/>
    <w:rsid w:val="00045F1C"/>
    <w:rsid w:val="00050FEB"/>
    <w:rsid w:val="00053D74"/>
    <w:rsid w:val="000744F1"/>
    <w:rsid w:val="00080F01"/>
    <w:rsid w:val="00087DB2"/>
    <w:rsid w:val="000A55D3"/>
    <w:rsid w:val="000A6EB8"/>
    <w:rsid w:val="000B0316"/>
    <w:rsid w:val="000C257C"/>
    <w:rsid w:val="000C46D2"/>
    <w:rsid w:val="000E67DB"/>
    <w:rsid w:val="00100136"/>
    <w:rsid w:val="00105EC8"/>
    <w:rsid w:val="00114567"/>
    <w:rsid w:val="0013008A"/>
    <w:rsid w:val="00131D71"/>
    <w:rsid w:val="00136A1F"/>
    <w:rsid w:val="00162F90"/>
    <w:rsid w:val="00164AA8"/>
    <w:rsid w:val="00165D59"/>
    <w:rsid w:val="00172164"/>
    <w:rsid w:val="001774D8"/>
    <w:rsid w:val="00181824"/>
    <w:rsid w:val="001952B6"/>
    <w:rsid w:val="001A1D64"/>
    <w:rsid w:val="001C6F7A"/>
    <w:rsid w:val="001F04C8"/>
    <w:rsid w:val="001F408F"/>
    <w:rsid w:val="002072AE"/>
    <w:rsid w:val="00212B92"/>
    <w:rsid w:val="0021698C"/>
    <w:rsid w:val="00223279"/>
    <w:rsid w:val="00230AFA"/>
    <w:rsid w:val="00237A53"/>
    <w:rsid w:val="0024230B"/>
    <w:rsid w:val="002431B6"/>
    <w:rsid w:val="002438E7"/>
    <w:rsid w:val="00244DEA"/>
    <w:rsid w:val="00250A10"/>
    <w:rsid w:val="00250C6C"/>
    <w:rsid w:val="002522E5"/>
    <w:rsid w:val="002645FB"/>
    <w:rsid w:val="00271031"/>
    <w:rsid w:val="00283C7D"/>
    <w:rsid w:val="00284D5A"/>
    <w:rsid w:val="00290834"/>
    <w:rsid w:val="00290CF0"/>
    <w:rsid w:val="00297797"/>
    <w:rsid w:val="002A7E1A"/>
    <w:rsid w:val="002D03A3"/>
    <w:rsid w:val="002D299A"/>
    <w:rsid w:val="002D4063"/>
    <w:rsid w:val="002E50DD"/>
    <w:rsid w:val="00303EA0"/>
    <w:rsid w:val="00310A37"/>
    <w:rsid w:val="00322D64"/>
    <w:rsid w:val="00323D04"/>
    <w:rsid w:val="0032594A"/>
    <w:rsid w:val="003279D8"/>
    <w:rsid w:val="00332146"/>
    <w:rsid w:val="003346E9"/>
    <w:rsid w:val="00345676"/>
    <w:rsid w:val="0035385C"/>
    <w:rsid w:val="00355D76"/>
    <w:rsid w:val="00357C4C"/>
    <w:rsid w:val="003641E6"/>
    <w:rsid w:val="0036420E"/>
    <w:rsid w:val="00370EE5"/>
    <w:rsid w:val="0037289D"/>
    <w:rsid w:val="00374611"/>
    <w:rsid w:val="00385E5C"/>
    <w:rsid w:val="003923EC"/>
    <w:rsid w:val="003A5B14"/>
    <w:rsid w:val="003A62A5"/>
    <w:rsid w:val="003B03F5"/>
    <w:rsid w:val="003B125F"/>
    <w:rsid w:val="003B4975"/>
    <w:rsid w:val="003C0874"/>
    <w:rsid w:val="003C153A"/>
    <w:rsid w:val="003D4962"/>
    <w:rsid w:val="003E0A85"/>
    <w:rsid w:val="003E361D"/>
    <w:rsid w:val="003F2E1F"/>
    <w:rsid w:val="00417203"/>
    <w:rsid w:val="00427EE6"/>
    <w:rsid w:val="0043152B"/>
    <w:rsid w:val="00431F6D"/>
    <w:rsid w:val="0043454B"/>
    <w:rsid w:val="00444C23"/>
    <w:rsid w:val="004452EE"/>
    <w:rsid w:val="00447719"/>
    <w:rsid w:val="00461E7C"/>
    <w:rsid w:val="00463D36"/>
    <w:rsid w:val="00464602"/>
    <w:rsid w:val="0046632F"/>
    <w:rsid w:val="00471982"/>
    <w:rsid w:val="00474CD3"/>
    <w:rsid w:val="004822E7"/>
    <w:rsid w:val="004928DE"/>
    <w:rsid w:val="004940CB"/>
    <w:rsid w:val="004A0612"/>
    <w:rsid w:val="004A1B09"/>
    <w:rsid w:val="004A3A3E"/>
    <w:rsid w:val="004A437A"/>
    <w:rsid w:val="004C47F5"/>
    <w:rsid w:val="004C5403"/>
    <w:rsid w:val="004C671A"/>
    <w:rsid w:val="004D2FEE"/>
    <w:rsid w:val="004F0FC2"/>
    <w:rsid w:val="00502E9A"/>
    <w:rsid w:val="00512AF2"/>
    <w:rsid w:val="00516BD0"/>
    <w:rsid w:val="005246CB"/>
    <w:rsid w:val="00535F0B"/>
    <w:rsid w:val="005410F8"/>
    <w:rsid w:val="005437D3"/>
    <w:rsid w:val="0056343F"/>
    <w:rsid w:val="00576206"/>
    <w:rsid w:val="00592685"/>
    <w:rsid w:val="005A1171"/>
    <w:rsid w:val="005B006F"/>
    <w:rsid w:val="005C1CE5"/>
    <w:rsid w:val="005D01F8"/>
    <w:rsid w:val="005E4818"/>
    <w:rsid w:val="0060474F"/>
    <w:rsid w:val="006077A8"/>
    <w:rsid w:val="00613198"/>
    <w:rsid w:val="00620FB2"/>
    <w:rsid w:val="00640E34"/>
    <w:rsid w:val="00645718"/>
    <w:rsid w:val="00682433"/>
    <w:rsid w:val="00687CC6"/>
    <w:rsid w:val="0069181B"/>
    <w:rsid w:val="00695894"/>
    <w:rsid w:val="006B1553"/>
    <w:rsid w:val="006B1D14"/>
    <w:rsid w:val="006B2029"/>
    <w:rsid w:val="006B32AA"/>
    <w:rsid w:val="006B6F87"/>
    <w:rsid w:val="006B7E48"/>
    <w:rsid w:val="006E6B05"/>
    <w:rsid w:val="006F021C"/>
    <w:rsid w:val="006F1B19"/>
    <w:rsid w:val="006F7AF5"/>
    <w:rsid w:val="0070264B"/>
    <w:rsid w:val="00722A10"/>
    <w:rsid w:val="0072482D"/>
    <w:rsid w:val="0074260D"/>
    <w:rsid w:val="007472CE"/>
    <w:rsid w:val="00765DB8"/>
    <w:rsid w:val="0077593C"/>
    <w:rsid w:val="00775D7D"/>
    <w:rsid w:val="00793F3E"/>
    <w:rsid w:val="00794634"/>
    <w:rsid w:val="007A539D"/>
    <w:rsid w:val="007B13EF"/>
    <w:rsid w:val="007D7BFF"/>
    <w:rsid w:val="007F4AA2"/>
    <w:rsid w:val="00806D45"/>
    <w:rsid w:val="00807EE8"/>
    <w:rsid w:val="00832EEE"/>
    <w:rsid w:val="00835C1C"/>
    <w:rsid w:val="00850AC2"/>
    <w:rsid w:val="008570D4"/>
    <w:rsid w:val="00857396"/>
    <w:rsid w:val="00863F95"/>
    <w:rsid w:val="00864584"/>
    <w:rsid w:val="0086583E"/>
    <w:rsid w:val="00865A44"/>
    <w:rsid w:val="00871899"/>
    <w:rsid w:val="008725E1"/>
    <w:rsid w:val="00880E6F"/>
    <w:rsid w:val="00884645"/>
    <w:rsid w:val="00884E8A"/>
    <w:rsid w:val="00894D31"/>
    <w:rsid w:val="00895184"/>
    <w:rsid w:val="0089745A"/>
    <w:rsid w:val="00897F27"/>
    <w:rsid w:val="008A029C"/>
    <w:rsid w:val="008A2021"/>
    <w:rsid w:val="008A3617"/>
    <w:rsid w:val="008B016A"/>
    <w:rsid w:val="008C0439"/>
    <w:rsid w:val="008C237C"/>
    <w:rsid w:val="008C513B"/>
    <w:rsid w:val="008E1F57"/>
    <w:rsid w:val="008E7AAB"/>
    <w:rsid w:val="00902B8C"/>
    <w:rsid w:val="00902E9F"/>
    <w:rsid w:val="00914359"/>
    <w:rsid w:val="0091665D"/>
    <w:rsid w:val="00916DD7"/>
    <w:rsid w:val="00924375"/>
    <w:rsid w:val="00930D3D"/>
    <w:rsid w:val="00932961"/>
    <w:rsid w:val="009335BF"/>
    <w:rsid w:val="009336FE"/>
    <w:rsid w:val="0094106B"/>
    <w:rsid w:val="00950FB8"/>
    <w:rsid w:val="00956077"/>
    <w:rsid w:val="00964A32"/>
    <w:rsid w:val="009714D2"/>
    <w:rsid w:val="00973932"/>
    <w:rsid w:val="009826D5"/>
    <w:rsid w:val="0098458A"/>
    <w:rsid w:val="0098646C"/>
    <w:rsid w:val="009A032A"/>
    <w:rsid w:val="009A1ACE"/>
    <w:rsid w:val="009A7D6F"/>
    <w:rsid w:val="009B71E4"/>
    <w:rsid w:val="009D065C"/>
    <w:rsid w:val="009D6EEC"/>
    <w:rsid w:val="009E02D3"/>
    <w:rsid w:val="009E4DDB"/>
    <w:rsid w:val="009F5470"/>
    <w:rsid w:val="00A05FA5"/>
    <w:rsid w:val="00A319D0"/>
    <w:rsid w:val="00A31C11"/>
    <w:rsid w:val="00A320EC"/>
    <w:rsid w:val="00A37104"/>
    <w:rsid w:val="00A52726"/>
    <w:rsid w:val="00A70EE0"/>
    <w:rsid w:val="00A70EF4"/>
    <w:rsid w:val="00A826BE"/>
    <w:rsid w:val="00A86A14"/>
    <w:rsid w:val="00A91A51"/>
    <w:rsid w:val="00AB0EE8"/>
    <w:rsid w:val="00AC323A"/>
    <w:rsid w:val="00AC702C"/>
    <w:rsid w:val="00AD0499"/>
    <w:rsid w:val="00AD4D68"/>
    <w:rsid w:val="00AF2BC1"/>
    <w:rsid w:val="00B02BC4"/>
    <w:rsid w:val="00B05308"/>
    <w:rsid w:val="00B1413D"/>
    <w:rsid w:val="00B20594"/>
    <w:rsid w:val="00B2256D"/>
    <w:rsid w:val="00B237FE"/>
    <w:rsid w:val="00B317FF"/>
    <w:rsid w:val="00B3721F"/>
    <w:rsid w:val="00B419FA"/>
    <w:rsid w:val="00B53B88"/>
    <w:rsid w:val="00B831A5"/>
    <w:rsid w:val="00B83B07"/>
    <w:rsid w:val="00BA3D73"/>
    <w:rsid w:val="00BA721B"/>
    <w:rsid w:val="00BB068A"/>
    <w:rsid w:val="00BB20BC"/>
    <w:rsid w:val="00BB268F"/>
    <w:rsid w:val="00BB6291"/>
    <w:rsid w:val="00BB6CF4"/>
    <w:rsid w:val="00BD1144"/>
    <w:rsid w:val="00BD5DFA"/>
    <w:rsid w:val="00BF0040"/>
    <w:rsid w:val="00BF1590"/>
    <w:rsid w:val="00BF7EA1"/>
    <w:rsid w:val="00C12E18"/>
    <w:rsid w:val="00C246AE"/>
    <w:rsid w:val="00C276EB"/>
    <w:rsid w:val="00C3041C"/>
    <w:rsid w:val="00C4761E"/>
    <w:rsid w:val="00C6395D"/>
    <w:rsid w:val="00C63AAF"/>
    <w:rsid w:val="00C67104"/>
    <w:rsid w:val="00C75635"/>
    <w:rsid w:val="00C7775F"/>
    <w:rsid w:val="00C94773"/>
    <w:rsid w:val="00C956C2"/>
    <w:rsid w:val="00CA2C87"/>
    <w:rsid w:val="00CB0383"/>
    <w:rsid w:val="00CB2C08"/>
    <w:rsid w:val="00CB5BB8"/>
    <w:rsid w:val="00CC0977"/>
    <w:rsid w:val="00CC2B8E"/>
    <w:rsid w:val="00CE39EC"/>
    <w:rsid w:val="00CF5929"/>
    <w:rsid w:val="00D21866"/>
    <w:rsid w:val="00D25B04"/>
    <w:rsid w:val="00D37290"/>
    <w:rsid w:val="00D4494B"/>
    <w:rsid w:val="00D66669"/>
    <w:rsid w:val="00D74B2A"/>
    <w:rsid w:val="00D836C3"/>
    <w:rsid w:val="00D84742"/>
    <w:rsid w:val="00D96365"/>
    <w:rsid w:val="00DA1998"/>
    <w:rsid w:val="00DB1355"/>
    <w:rsid w:val="00DB2B79"/>
    <w:rsid w:val="00DB361B"/>
    <w:rsid w:val="00DC0150"/>
    <w:rsid w:val="00DD54C7"/>
    <w:rsid w:val="00DE0B35"/>
    <w:rsid w:val="00DE1264"/>
    <w:rsid w:val="00DE1BE2"/>
    <w:rsid w:val="00E05BC1"/>
    <w:rsid w:val="00E10073"/>
    <w:rsid w:val="00E15721"/>
    <w:rsid w:val="00E245FC"/>
    <w:rsid w:val="00E307AB"/>
    <w:rsid w:val="00E46F91"/>
    <w:rsid w:val="00E5258C"/>
    <w:rsid w:val="00E5271A"/>
    <w:rsid w:val="00E5663B"/>
    <w:rsid w:val="00E57CC6"/>
    <w:rsid w:val="00E60838"/>
    <w:rsid w:val="00E61989"/>
    <w:rsid w:val="00E66619"/>
    <w:rsid w:val="00E81335"/>
    <w:rsid w:val="00E82576"/>
    <w:rsid w:val="00E93B0E"/>
    <w:rsid w:val="00EA16C9"/>
    <w:rsid w:val="00EA3B0F"/>
    <w:rsid w:val="00EB5125"/>
    <w:rsid w:val="00EC1311"/>
    <w:rsid w:val="00ED1CFE"/>
    <w:rsid w:val="00ED31AB"/>
    <w:rsid w:val="00EE3AFE"/>
    <w:rsid w:val="00EE56E2"/>
    <w:rsid w:val="00EF3DA3"/>
    <w:rsid w:val="00EF5254"/>
    <w:rsid w:val="00EF5566"/>
    <w:rsid w:val="00EF5C90"/>
    <w:rsid w:val="00F04218"/>
    <w:rsid w:val="00F160C2"/>
    <w:rsid w:val="00F34DE8"/>
    <w:rsid w:val="00F3662C"/>
    <w:rsid w:val="00F40D15"/>
    <w:rsid w:val="00F464D5"/>
    <w:rsid w:val="00F50133"/>
    <w:rsid w:val="00F71C68"/>
    <w:rsid w:val="00F95B2C"/>
    <w:rsid w:val="00FB621A"/>
    <w:rsid w:val="00FB6AE2"/>
    <w:rsid w:val="00FB7559"/>
    <w:rsid w:val="00FB7654"/>
    <w:rsid w:val="00FC5324"/>
    <w:rsid w:val="00FC5C0E"/>
    <w:rsid w:val="00FD2E39"/>
    <w:rsid w:val="00FD78DA"/>
    <w:rsid w:val="00FE0185"/>
    <w:rsid w:val="00FE78FD"/>
    <w:rsid w:val="00FE7EC3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819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F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2482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5FB"/>
  </w:style>
  <w:style w:type="paragraph" w:styleId="a8">
    <w:name w:val="footer"/>
    <w:basedOn w:val="a"/>
    <w:link w:val="a9"/>
    <w:uiPriority w:val="99"/>
    <w:unhideWhenUsed/>
    <w:rsid w:val="0026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5FB"/>
  </w:style>
  <w:style w:type="paragraph" w:styleId="aa">
    <w:name w:val="List Paragraph"/>
    <w:basedOn w:val="a"/>
    <w:uiPriority w:val="34"/>
    <w:qFormat/>
    <w:rsid w:val="00EE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7D09-0EBD-4205-8635-3BA261D6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2021-04-15T11:02:00Z</dcterms:created>
  <dcterms:modified xsi:type="dcterms:W3CDTF">2021-04-15T13:58:00Z</dcterms:modified>
</cp:coreProperties>
</file>